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387B9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387B9D" w:rsidRPr="00387B9D">
        <w:rPr>
          <w:i/>
          <w:color w:val="000000"/>
        </w:rPr>
        <w:t>CIII-RS-1512-0</w:t>
      </w:r>
      <w:r w:rsidR="00717FDA">
        <w:rPr>
          <w:i/>
          <w:color w:val="000000"/>
        </w:rPr>
        <w:t>3</w:t>
      </w:r>
      <w:r w:rsidR="00387B9D" w:rsidRPr="00387B9D">
        <w:rPr>
          <w:i/>
          <w:color w:val="000000"/>
        </w:rPr>
        <w:t>-222</w:t>
      </w:r>
      <w:r w:rsidR="00717FDA">
        <w:rPr>
          <w:i/>
          <w:color w:val="000000"/>
        </w:rPr>
        <w:t>3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</w:t>
      </w:r>
      <w:r w:rsidR="00387B9D">
        <w:rPr>
          <w:b/>
          <w:color w:val="000000"/>
        </w:rPr>
        <w:t>Prof. Dr. Hodúr Cecília</w:t>
      </w:r>
      <w:r>
        <w:rPr>
          <w:b/>
          <w:color w:val="000000"/>
        </w:rPr>
        <w:t xml:space="preserve">, </w:t>
      </w:r>
      <w:hyperlink r:id="rId7" w:history="1">
        <w:r w:rsidR="00387B9D" w:rsidRPr="00DB220F">
          <w:rPr>
            <w:rStyle w:val="Hiperhivatkozs"/>
            <w:b/>
          </w:rPr>
          <w:t>hodur@mk.u-szeged.hu</w:t>
        </w:r>
      </w:hyperlink>
    </w:p>
    <w:p w:rsidR="003A4952" w:rsidRPr="00F43E3A" w:rsidRDefault="003A4952" w:rsidP="00387B9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387B9D" w:rsidRPr="00387B9D">
        <w:rPr>
          <w:b/>
          <w:color w:val="000000"/>
          <w:lang w:val="en-US"/>
        </w:rPr>
        <w:t>Improving Food Quality with Novel Food Processing Technologies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717FDA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Ausztria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Pr="00387B9D" w:rsidRDefault="003A4952" w:rsidP="00C20331">
            <w:pPr>
              <w:spacing w:after="0"/>
              <w:rPr>
                <w:b/>
                <w:sz w:val="20"/>
                <w:szCs w:val="20"/>
                <w:lang w:eastAsia="hu-HU"/>
              </w:rPr>
            </w:pPr>
            <w:r w:rsidRPr="00387B9D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717FDA">
              <w:rPr>
                <w:b/>
                <w:sz w:val="20"/>
                <w:szCs w:val="20"/>
                <w:lang w:eastAsia="hu-HU"/>
              </w:rPr>
              <w:t>BOKU</w:t>
            </w:r>
          </w:p>
          <w:p w:rsidR="00387B9D" w:rsidRPr="009E375F" w:rsidRDefault="00387B9D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</w:rPr>
              <w:t> </w:t>
            </w:r>
            <w:hyperlink r:id="rId8" w:tgtFrame="_blank" w:history="1">
              <w:r>
                <w:rPr>
                  <w:rStyle w:val="Hiperhivatkozs"/>
                  <w:rFonts w:ascii="Tahoma" w:hAnsi="Tahoma" w:cs="Tahoma"/>
                  <w:sz w:val="17"/>
                  <w:szCs w:val="17"/>
                </w:rPr>
                <w:t>www.unizg.hr</w:t>
              </w:r>
            </w:hyperlink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717FDA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  <w:r w:rsidR="00631A23" w:rsidRPr="007E3C31">
              <w:rPr>
                <w:sz w:val="20"/>
                <w:szCs w:val="20"/>
                <w:lang w:eastAsia="hu-HU"/>
              </w:rPr>
              <w:t xml:space="preserve"> hónapra (S)</w:t>
            </w:r>
            <w:r w:rsidR="00631A23">
              <w:rPr>
                <w:sz w:val="20"/>
                <w:szCs w:val="20"/>
                <w:lang w:eastAsia="hu-HU"/>
              </w:rPr>
              <w:t xml:space="preserve"> </w:t>
            </w:r>
          </w:p>
          <w:p w:rsidR="00631A23" w:rsidRPr="007E3C31" w:rsidRDefault="00717FDA" w:rsidP="00717FDA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 hónap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717FDA" w:rsidP="00B848D6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717FDA" w:rsidP="00717FDA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717FDA" w:rsidP="00717FDA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717FDA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Horvát</w:t>
            </w:r>
            <w:r w:rsidR="00387B9D">
              <w:rPr>
                <w:sz w:val="20"/>
                <w:szCs w:val="20"/>
                <w:lang w:eastAsia="hu-HU"/>
              </w:rPr>
              <w:t>ország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261A0" w:rsidRDefault="00717FDA" w:rsidP="00C20331">
            <w:pPr>
              <w:spacing w:after="0"/>
              <w:rPr>
                <w:caps/>
                <w:sz w:val="20"/>
                <w:szCs w:val="20"/>
                <w:lang w:eastAsia="hu-HU"/>
              </w:rPr>
            </w:pPr>
            <w:r>
              <w:rPr>
                <w:caps/>
                <w:sz w:val="20"/>
                <w:szCs w:val="20"/>
                <w:lang w:eastAsia="hu-HU"/>
              </w:rPr>
              <w:t>university of zagreb</w:t>
            </w:r>
          </w:p>
          <w:p w:rsidR="00387B9D" w:rsidRPr="00717FDA" w:rsidRDefault="00717FDA" w:rsidP="00C20331">
            <w:pPr>
              <w:spacing w:after="0"/>
              <w:rPr>
                <w:caps/>
                <w:sz w:val="17"/>
                <w:szCs w:val="17"/>
                <w:lang w:eastAsia="hu-HU"/>
              </w:rPr>
            </w:pPr>
            <w:hyperlink r:id="rId9" w:history="1">
              <w:r w:rsidRPr="00717FDA">
                <w:rPr>
                  <w:rStyle w:val="Hiperhivatkozs"/>
                  <w:sz w:val="17"/>
                  <w:szCs w:val="17"/>
                </w:rPr>
                <w:t>http://www.unizg.hr/homepage/</w:t>
              </w:r>
            </w:hyperlink>
            <w:r w:rsidRPr="00717FDA">
              <w:rPr>
                <w:sz w:val="17"/>
                <w:szCs w:val="17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717FDA" w:rsidP="00717FDA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bookmarkStart w:id="0" w:name="_GoBack"/>
            <w:bookmarkEnd w:id="0"/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717FDA" w:rsidP="00717FDA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631A23" w:rsidRPr="00DF1DDE" w:rsidTr="009F0620">
        <w:tc>
          <w:tcPr>
            <w:tcW w:w="402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631A23" w:rsidRPr="00DF1DDE" w:rsidRDefault="00387B9D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631A23" w:rsidRPr="00DF1DDE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31A23" w:rsidRDefault="00631A23" w:rsidP="009F0620">
            <w:pPr>
              <w:spacing w:after="0"/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  <w:r w:rsidR="00387B9D" w:rsidRPr="00387B9D"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>BANAT UNIVERSITY OF AGRICULTURAL SCIENCES AND VETERINARY MEDICINE "KING MIHAI I OF ROMANIA" OF TIMISOARA</w:t>
            </w:r>
          </w:p>
          <w:p w:rsidR="00292378" w:rsidRPr="00DF1DDE" w:rsidRDefault="00292378" w:rsidP="009F0620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</w:rPr>
              <w:t> </w:t>
            </w:r>
            <w:hyperlink r:id="rId10" w:tgtFrame="_blank" w:history="1">
              <w:r>
                <w:rPr>
                  <w:rStyle w:val="Hiperhivatkozs"/>
                  <w:rFonts w:ascii="Tahoma" w:hAnsi="Tahoma" w:cs="Tahoma"/>
                  <w:sz w:val="17"/>
                  <w:szCs w:val="17"/>
                </w:rPr>
                <w:t>www.usab-tm.ro</w:t>
              </w:r>
            </w:hyperlink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631A23" w:rsidRPr="007E3C31" w:rsidTr="009F062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631A23" w:rsidRPr="007E3C31" w:rsidRDefault="00387B9D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631A23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11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12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</w:t>
      </w:r>
      <w:r w:rsidR="001450BB">
        <w:rPr>
          <w:b/>
        </w:rPr>
        <w:t>2</w:t>
      </w:r>
      <w:r w:rsidR="00717FDA">
        <w:rPr>
          <w:b/>
        </w:rPr>
        <w:t>2</w:t>
      </w:r>
      <w:r w:rsidRPr="003F1124">
        <w:rPr>
          <w:b/>
        </w:rPr>
        <w:t xml:space="preserve">. június </w:t>
      </w:r>
      <w:r w:rsidR="001450BB">
        <w:rPr>
          <w:b/>
        </w:rPr>
        <w:t>1</w:t>
      </w:r>
      <w:r w:rsidR="00717FDA">
        <w:rPr>
          <w:b/>
        </w:rPr>
        <w:t>5</w:t>
      </w:r>
      <w:r w:rsidRPr="003F1124">
        <w:rPr>
          <w:b/>
        </w:rPr>
        <w:t>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3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1450BB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1450BB" w:rsidRPr="00C47AA6" w:rsidRDefault="001450B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ELŐNYT ÉLVEZ, AKI HALLGATÓKKAL EGYÜTT UTAZIK.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lastRenderedPageBreak/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40076"/>
    <w:rsid w:val="000436EB"/>
    <w:rsid w:val="00075B2B"/>
    <w:rsid w:val="00090A78"/>
    <w:rsid w:val="00091AA6"/>
    <w:rsid w:val="000B42CF"/>
    <w:rsid w:val="000D1338"/>
    <w:rsid w:val="001029F3"/>
    <w:rsid w:val="00117E3D"/>
    <w:rsid w:val="001239B7"/>
    <w:rsid w:val="00143DC0"/>
    <w:rsid w:val="001450BB"/>
    <w:rsid w:val="00207B2C"/>
    <w:rsid w:val="002105A4"/>
    <w:rsid w:val="002248A1"/>
    <w:rsid w:val="00233B85"/>
    <w:rsid w:val="00247FFC"/>
    <w:rsid w:val="00271DF0"/>
    <w:rsid w:val="00292378"/>
    <w:rsid w:val="00296663"/>
    <w:rsid w:val="002C1C52"/>
    <w:rsid w:val="002C4F10"/>
    <w:rsid w:val="002D7A58"/>
    <w:rsid w:val="00331971"/>
    <w:rsid w:val="00364CF1"/>
    <w:rsid w:val="00370FB9"/>
    <w:rsid w:val="00387B9D"/>
    <w:rsid w:val="003A4952"/>
    <w:rsid w:val="003C456E"/>
    <w:rsid w:val="003F1124"/>
    <w:rsid w:val="004771FD"/>
    <w:rsid w:val="004A3AFB"/>
    <w:rsid w:val="005636E6"/>
    <w:rsid w:val="005B560C"/>
    <w:rsid w:val="005D3AAE"/>
    <w:rsid w:val="00631A23"/>
    <w:rsid w:val="00644D37"/>
    <w:rsid w:val="006D14FC"/>
    <w:rsid w:val="00717FDA"/>
    <w:rsid w:val="007202E8"/>
    <w:rsid w:val="007261A0"/>
    <w:rsid w:val="007262FD"/>
    <w:rsid w:val="00746637"/>
    <w:rsid w:val="00761DEB"/>
    <w:rsid w:val="007C045B"/>
    <w:rsid w:val="007C456C"/>
    <w:rsid w:val="007D7653"/>
    <w:rsid w:val="007E3C31"/>
    <w:rsid w:val="008012AB"/>
    <w:rsid w:val="00832328"/>
    <w:rsid w:val="00921C97"/>
    <w:rsid w:val="00923D80"/>
    <w:rsid w:val="00931756"/>
    <w:rsid w:val="00950C3A"/>
    <w:rsid w:val="00962AC8"/>
    <w:rsid w:val="00992ECB"/>
    <w:rsid w:val="009B4F95"/>
    <w:rsid w:val="009E375F"/>
    <w:rsid w:val="00A000BB"/>
    <w:rsid w:val="00A01FCE"/>
    <w:rsid w:val="00A47B4A"/>
    <w:rsid w:val="00A62ECE"/>
    <w:rsid w:val="00A9182E"/>
    <w:rsid w:val="00AE5BCB"/>
    <w:rsid w:val="00B06B17"/>
    <w:rsid w:val="00B848D6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3B33"/>
    <w:rsid w:val="00D37789"/>
    <w:rsid w:val="00D84D6E"/>
    <w:rsid w:val="00DF1DDE"/>
    <w:rsid w:val="00E226C6"/>
    <w:rsid w:val="00E3501D"/>
    <w:rsid w:val="00E92B89"/>
    <w:rsid w:val="00EE2BCA"/>
    <w:rsid w:val="00F23F21"/>
    <w:rsid w:val="00F43E3A"/>
    <w:rsid w:val="00F97516"/>
    <w:rsid w:val="00FB3C99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" TargetMode="External"/><Relationship Id="rId13" Type="http://schemas.openxmlformats.org/officeDocument/2006/relationships/hyperlink" Target="http://www.ceepu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dur@mk.u-szeged.hu" TargetMode="External"/><Relationship Id="rId12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ka.hu/palyazatok/114/ceep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ab-tm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g.hr/home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user</cp:lastModifiedBy>
  <cp:revision>5</cp:revision>
  <dcterms:created xsi:type="dcterms:W3CDTF">2021-06-05T08:54:00Z</dcterms:created>
  <dcterms:modified xsi:type="dcterms:W3CDTF">2022-06-07T10:02:00Z</dcterms:modified>
</cp:coreProperties>
</file>